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E" w:rsidRDefault="00B64F1E" w:rsidP="005F227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Fakultet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poslovne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studije</w:t>
      </w:r>
      <w:proofErr w:type="spellEnd"/>
      <w:r>
        <w:rPr>
          <w:b/>
          <w:sz w:val="32"/>
          <w:szCs w:val="32"/>
        </w:rPr>
        <w:t xml:space="preserve"> - III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5F227C" w:rsidRDefault="005F227C" w:rsidP="005F22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ORGANIZACIONO PONAŠANJE </w:t>
      </w:r>
      <w:r w:rsidR="00B06C4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proofErr w:type="spellStart"/>
      <w:r w:rsidR="00B64F1E">
        <w:rPr>
          <w:b/>
          <w:sz w:val="32"/>
          <w:szCs w:val="32"/>
        </w:rPr>
        <w:t>Ispitna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 w:rsidR="00B64F1E">
        <w:rPr>
          <w:b/>
          <w:sz w:val="32"/>
          <w:szCs w:val="32"/>
        </w:rPr>
        <w:t>pitanja</w:t>
      </w:r>
      <w:proofErr w:type="spellEnd"/>
      <w:r w:rsidR="00B373C5">
        <w:rPr>
          <w:b/>
          <w:sz w:val="32"/>
          <w:szCs w:val="32"/>
        </w:rPr>
        <w:t xml:space="preserve"> – 2017-18</w:t>
      </w:r>
      <w:bookmarkStart w:id="0" w:name="_GoBack"/>
      <w:bookmarkEnd w:id="0"/>
      <w:r w:rsidR="00AC17E9">
        <w:rPr>
          <w:b/>
          <w:sz w:val="32"/>
          <w:szCs w:val="32"/>
        </w:rPr>
        <w:t>.</w:t>
      </w:r>
    </w:p>
    <w:p w:rsidR="005F227C" w:rsidRPr="00D879C9" w:rsidRDefault="005F227C" w:rsidP="00D87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Pojam </w:t>
      </w:r>
      <w:r w:rsidR="00D879C9">
        <w:rPr>
          <w:rFonts w:ascii="Times New Roman" w:hAnsi="Times New Roman"/>
          <w:sz w:val="24"/>
          <w:szCs w:val="24"/>
          <w:lang w:val="sr-Latn-CS"/>
        </w:rPr>
        <w:t>i z</w:t>
      </w:r>
      <w:r w:rsidRPr="00D879C9">
        <w:rPr>
          <w:rFonts w:ascii="Times New Roman" w:hAnsi="Times New Roman"/>
          <w:sz w:val="24"/>
          <w:szCs w:val="24"/>
          <w:lang w:val="sr-Latn-CS"/>
        </w:rPr>
        <w:t>načaj izučavanja organizacionog ponašanja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Naučni osnovi organizacionog ponašanja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Pristupi organizacionom ponašanju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Razlike između ljudi i njihov uticaj na organizaciono ponašanje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Klasična škola u razvoju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naučni menadžment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Klasična škola u razvoju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administrativnu teoriju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Meri Parker Folet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Oliver Šeldon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Čester Bernard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Hotorn studije i škola međuljudskih odnosa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Kvanititativni pristup (nauka o upravljanju)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Bihevioristički pristupi (nauka o ponašanju): </w:t>
      </w:r>
      <w:r>
        <w:rPr>
          <w:rFonts w:ascii="Times New Roman" w:hAnsi="Times New Roman"/>
          <w:b/>
          <w:sz w:val="24"/>
          <w:szCs w:val="24"/>
          <w:lang w:val="sr-Latn-CS"/>
        </w:rPr>
        <w:t>Maslov i  Mekgregor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menadžmenta i organizaciono ponašanje: </w:t>
      </w:r>
      <w:r>
        <w:rPr>
          <w:rFonts w:ascii="Times New Roman" w:hAnsi="Times New Roman"/>
          <w:b/>
          <w:sz w:val="24"/>
          <w:szCs w:val="24"/>
          <w:lang w:val="sr-Latn-CS"/>
        </w:rPr>
        <w:t>Integrativni pristup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Dalji razvoj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Teorija haosa i teorija kulturnog sklada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Pojam ličnosti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Promenljive koje utiču na razvoj ličnosti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Osobine ličnosti: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tipove ličnosti (društveni stilovi, FIRO, MBTI i model „velikih pet“)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Osobine ličnosti: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objasniti usklađivanje ličnosti pojedinca sa poslom i položaj kontrole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sz w:val="24"/>
          <w:szCs w:val="24"/>
          <w:lang w:val="sr-Latn-CS"/>
        </w:rPr>
        <w:t>Lični ciljevi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Kompetentnosti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Verovanja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Vrednosti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Stavovi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Sposobnosti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Emocije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 (opažanje). </w:t>
      </w:r>
      <w:r>
        <w:rPr>
          <w:rFonts w:ascii="Times New Roman" w:hAnsi="Times New Roman"/>
          <w:b/>
          <w:sz w:val="24"/>
          <w:szCs w:val="24"/>
          <w:lang w:val="sr-Latn-CS"/>
        </w:rPr>
        <w:t>Objasniti osnovne elemente procesa percepcije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Selekcija prilikom percepcije (Eksterni faktori i interni faktori)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Organizovanje percepcije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Interpretacija (greške u percepciji i uzroci ponašanja)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Motivisanje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Strategije radne motivacije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Merenje motivacije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Proces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motivacije</w:t>
      </w:r>
      <w:proofErr w:type="spellEnd"/>
    </w:p>
    <w:p w:rsidR="005F227C" w:rsidRPr="001B3C59" w:rsidRDefault="005F227C" w:rsidP="001B3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Motivacioni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izazovi</w:t>
      </w:r>
      <w:proofErr w:type="spellEnd"/>
      <w:r w:rsidR="001B3C59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="001B3C59" w:rsidRPr="001B3C59">
        <w:rPr>
          <w:rFonts w:ascii="Times New Roman" w:hAnsi="Times New Roman"/>
          <w:sz w:val="24"/>
          <w:szCs w:val="24"/>
          <w:lang w:val="es-ES"/>
        </w:rPr>
        <w:t>tipovi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B3C59">
        <w:rPr>
          <w:rFonts w:ascii="Times New Roman" w:hAnsi="Times New Roman"/>
          <w:sz w:val="24"/>
          <w:szCs w:val="24"/>
          <w:lang w:val="es-ES"/>
        </w:rPr>
        <w:t>motivacije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motivacije: </w:t>
      </w:r>
      <w:r>
        <w:rPr>
          <w:rFonts w:ascii="Times New Roman" w:hAnsi="Times New Roman"/>
          <w:b/>
          <w:sz w:val="24"/>
          <w:szCs w:val="24"/>
          <w:lang w:val="sr-Latn-CS"/>
        </w:rPr>
        <w:t>Teorija instrumentalnosti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Teorije sadržaja: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Model hijerarhije potreba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ERG model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Model dostignuća (David McClelland)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Motivaciono-higijenski model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</w:t>
      </w:r>
      <w:r w:rsidR="00B06C44">
        <w:rPr>
          <w:rFonts w:ascii="Times New Roman" w:hAnsi="Times New Roman"/>
          <w:sz w:val="24"/>
          <w:szCs w:val="24"/>
          <w:lang w:val="sr-Latn-CS"/>
        </w:rPr>
        <w:t>–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Model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očekivanja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</w:t>
      </w:r>
      <w:r w:rsidR="00B06C44">
        <w:rPr>
          <w:rFonts w:ascii="Times New Roman" w:hAnsi="Times New Roman"/>
          <w:sz w:val="24"/>
          <w:szCs w:val="24"/>
          <w:lang w:val="sr-Latn-CS"/>
        </w:rPr>
        <w:t>–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Model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jednakosti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Teorije motivacije - Procesni modeli motivacije: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Model postavljanja ciljeva (Locke-Latham-ov model)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Teoriju podsticaja (pojačanje)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Grupe i grupno ponašanje: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Karakteristike grupa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Grupe i grupno ponašanje: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Klasifikacija i vrste grupa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Uloga i karakteristike formalnih i neformalnih grupa u organizaciji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Timovi u organizaciji: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Vrste i klasifikacija timova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Timovi u organizaciji: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Planiranje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formiranje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tima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Timovi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organizaciji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Izbor</w:t>
      </w:r>
      <w:proofErr w:type="spellEnd"/>
      <w:r w:rsidR="00B06C4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članova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tima,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modeliranje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početak</w:t>
      </w:r>
      <w:proofErr w:type="spellEnd"/>
      <w:r w:rsidR="00B06C4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timskog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rada</w:t>
      </w:r>
    </w:p>
    <w:p w:rsidR="005F227C" w:rsidRDefault="005F227C" w:rsidP="005F227C">
      <w:pPr>
        <w:pStyle w:val="BodyText"/>
        <w:numPr>
          <w:ilvl w:val="0"/>
          <w:numId w:val="1"/>
        </w:numPr>
      </w:pPr>
      <w:r>
        <w:rPr>
          <w:bCs/>
          <w:lang w:val="pl-PL"/>
        </w:rPr>
        <w:t xml:space="preserve">Timovi u organizaciji: </w:t>
      </w:r>
      <w:r>
        <w:rPr>
          <w:b/>
        </w:rPr>
        <w:t>Prednosti i učinak timskog rada</w:t>
      </w:r>
    </w:p>
    <w:p w:rsidR="005F227C" w:rsidRDefault="005F227C" w:rsidP="005F227C">
      <w:pPr>
        <w:pStyle w:val="BodyText"/>
        <w:numPr>
          <w:ilvl w:val="0"/>
          <w:numId w:val="1"/>
        </w:numPr>
      </w:pPr>
      <w:r>
        <w:t>Korišćenje – ispoljavanje moći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Vrste i izvori moći: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Klasični i ostali izvori i vrste moći</w:t>
      </w:r>
    </w:p>
    <w:p w:rsidR="005F227C" w:rsidRPr="001B3C59" w:rsidRDefault="005F227C" w:rsidP="001B3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Sukobi i konflikti u organizaciji: </w:t>
      </w:r>
      <w:r w:rsidR="001B3C59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Uzroci i </w:t>
      </w:r>
      <w:r w:rsidR="001B3C59" w:rsidRPr="001B3C59">
        <w:rPr>
          <w:rFonts w:ascii="Times New Roman" w:hAnsi="Times New Roman"/>
          <w:b/>
          <w:bCs/>
          <w:sz w:val="24"/>
          <w:szCs w:val="24"/>
          <w:lang w:val="sr-Latn-CS"/>
        </w:rPr>
        <w:t xml:space="preserve">vrste </w:t>
      </w:r>
      <w:r w:rsidRPr="001B3C59">
        <w:rPr>
          <w:rFonts w:ascii="Times New Roman" w:hAnsi="Times New Roman"/>
          <w:b/>
          <w:bCs/>
          <w:sz w:val="24"/>
          <w:szCs w:val="24"/>
          <w:lang w:val="sr-Latn-CS"/>
        </w:rPr>
        <w:t>sukoba i konflikata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Sukobi i konflikti u organizaciji: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Rešavanje sukoba i konflikata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Upravljanje sukobima i konfliktima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Pojam komunikacije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Proces komuniciranja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Aspekti interpersonalne komunikacije: </w:t>
      </w:r>
      <w:r>
        <w:rPr>
          <w:rFonts w:ascii="Times New Roman" w:hAnsi="Times New Roman"/>
          <w:b/>
          <w:sz w:val="24"/>
          <w:szCs w:val="24"/>
          <w:lang w:val="sr-Latn-CS"/>
        </w:rPr>
        <w:t>Verbalna, neverbalna i elektronska komunikacija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komunikacije u organizaciji: </w:t>
      </w:r>
      <w:r>
        <w:rPr>
          <w:rFonts w:ascii="Times New Roman" w:hAnsi="Times New Roman"/>
          <w:b/>
          <w:sz w:val="24"/>
          <w:szCs w:val="24"/>
          <w:lang w:val="sr-Latn-CS"/>
        </w:rPr>
        <w:t>Formalna i neformalna komunikacija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Inte</w:t>
      </w:r>
      <w:r w:rsidR="00B06C44">
        <w:rPr>
          <w:rFonts w:ascii="Times New Roman" w:hAnsi="Times New Roman"/>
          <w:sz w:val="24"/>
          <w:szCs w:val="24"/>
          <w:lang w:val="sr-Latn-CS"/>
        </w:rPr>
        <w:t>rpersonalne komunikacione mreže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Problemi i barijere u komuniciranju (mikro i makrobarijere u komunikaciji)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Pojam organizacione kulture i </w:t>
      </w:r>
      <w:r>
        <w:rPr>
          <w:rFonts w:ascii="Times New Roman" w:hAnsi="Times New Roman"/>
          <w:sz w:val="24"/>
          <w:szCs w:val="24"/>
          <w:lang w:val="pl-PL"/>
        </w:rPr>
        <w:t>organizacione klime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Karakteristike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organizacione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kulture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Model ledenog brega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Komponente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Latn-CS"/>
        </w:rPr>
      </w:pPr>
      <w:r>
        <w:rPr>
          <w:rFonts w:ascii="Times New Roman" w:hAnsi="Times New Roman"/>
          <w:iCs/>
          <w:sz w:val="24"/>
          <w:szCs w:val="24"/>
          <w:lang w:val="sr-Latn-CS"/>
        </w:rPr>
        <w:t>Tri orijentacije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Hendiju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Šejnu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Sonenfildu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r>
        <w:rPr>
          <w:rFonts w:ascii="Times New Roman" w:hAnsi="Times New Roman"/>
          <w:b/>
          <w:sz w:val="24"/>
          <w:szCs w:val="24"/>
          <w:lang w:val="sr-Latn-CS"/>
        </w:rPr>
        <w:t>Stvaran</w:t>
      </w:r>
      <w:r>
        <w:rPr>
          <w:rFonts w:ascii="Times New Roman" w:hAnsi="Times New Roman"/>
          <w:b/>
          <w:sz w:val="24"/>
          <w:szCs w:val="24"/>
          <w:lang w:val="pl-PL"/>
        </w:rPr>
        <w:t>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r>
        <w:rPr>
          <w:rFonts w:ascii="Times New Roman" w:hAnsi="Times New Roman"/>
          <w:b/>
          <w:sz w:val="24"/>
          <w:szCs w:val="24"/>
          <w:lang w:val="sr-Latn-CS"/>
        </w:rPr>
        <w:t>Održavanje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Promena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organizacione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kulture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Ciljevi i strategija; Veličina preduzeća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Životni ciklus preduzeća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Ljudski faktor (kadrovi); Vrste proizvoda/usluga; Lokacija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Faktori okruženja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Funkcionalna i procesna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Divizionalna, predmetna i teritorijalna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Matrična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Projektna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Hibridna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Koncept lanca vrednosti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Mrežne strukture: Interna mreža, stabilna mreža i dinamička mreža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Organizacija bez granica (otvorena organizacija)</w:t>
      </w:r>
    </w:p>
    <w:p w:rsidR="005F227C" w:rsidRDefault="005F227C" w:rsidP="005F227C">
      <w:pPr>
        <w:pStyle w:val="BodyText"/>
        <w:numPr>
          <w:ilvl w:val="0"/>
          <w:numId w:val="1"/>
        </w:numPr>
        <w:rPr>
          <w:b/>
        </w:rPr>
      </w:pPr>
      <w:r>
        <w:t>Učeće organizacije</w:t>
      </w:r>
    </w:p>
    <w:p w:rsidR="005F227C" w:rsidRPr="008064D4" w:rsidRDefault="005F227C" w:rsidP="008064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sr-Latn-CS"/>
        </w:rPr>
        <w:t>Organizacione promene</w:t>
      </w:r>
      <w:r w:rsidR="008064D4">
        <w:rPr>
          <w:rFonts w:ascii="Times New Roman" w:hAnsi="Times New Roman"/>
          <w:sz w:val="24"/>
          <w:szCs w:val="24"/>
          <w:lang w:val="hr-HR"/>
        </w:rPr>
        <w:t xml:space="preserve"> i u</w:t>
      </w:r>
      <w:r w:rsidRPr="008064D4">
        <w:rPr>
          <w:rFonts w:ascii="Times New Roman" w:hAnsi="Times New Roman"/>
          <w:sz w:val="24"/>
          <w:szCs w:val="24"/>
          <w:lang w:val="hr-HR"/>
        </w:rPr>
        <w:t>ticajni faktori organizacionih promena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Proces organizacionih promena</w:t>
      </w:r>
    </w:p>
    <w:p w:rsidR="005F227C" w:rsidRDefault="00E85C3C" w:rsidP="00E85C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>Vrste organizacionih promena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Otpori organizacionim promenama: </w:t>
      </w:r>
      <w:r>
        <w:rPr>
          <w:rFonts w:ascii="Times New Roman" w:hAnsi="Times New Roman"/>
          <w:b/>
          <w:sz w:val="24"/>
          <w:szCs w:val="24"/>
          <w:lang w:val="hr-HR"/>
        </w:rPr>
        <w:t>Osnovne prepreke za sprovođenje org. promena i izvori otpora</w:t>
      </w:r>
    </w:p>
    <w:p w:rsidR="00BC55EC" w:rsidRPr="001B3C59" w:rsidRDefault="005F227C" w:rsidP="001B3C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>Otpori organizacionim promenama</w:t>
      </w:r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hr-HR"/>
        </w:rPr>
        <w:t>Smanjivanje otpora promenama</w:t>
      </w:r>
    </w:p>
    <w:sectPr w:rsidR="00BC55EC" w:rsidRPr="001B3C59" w:rsidSect="00BB5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17A0"/>
    <w:multiLevelType w:val="hybridMultilevel"/>
    <w:tmpl w:val="E834B39E"/>
    <w:lvl w:ilvl="0" w:tplc="3BAEE5BA">
      <w:start w:val="1"/>
      <w:numFmt w:val="decimal"/>
      <w:lvlText w:val="%1."/>
      <w:lvlJc w:val="center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7C"/>
    <w:rsid w:val="001B3C59"/>
    <w:rsid w:val="003D65F4"/>
    <w:rsid w:val="005F227C"/>
    <w:rsid w:val="006755E0"/>
    <w:rsid w:val="00743BE0"/>
    <w:rsid w:val="008064D4"/>
    <w:rsid w:val="0093240D"/>
    <w:rsid w:val="00AC17E9"/>
    <w:rsid w:val="00B06C44"/>
    <w:rsid w:val="00B373C5"/>
    <w:rsid w:val="00B64F1E"/>
    <w:rsid w:val="00BB5990"/>
    <w:rsid w:val="00BC55EC"/>
    <w:rsid w:val="00D879C9"/>
    <w:rsid w:val="00E8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22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5F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22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5F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2018-06-09T10:43:00Z</dcterms:created>
  <dcterms:modified xsi:type="dcterms:W3CDTF">2018-06-09T10:43:00Z</dcterms:modified>
</cp:coreProperties>
</file>