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Завршни испит носи највише 30 поена, који се сабирају са поенима добијеним на основу предиспитних обавеза (највише 70), чинећи укупан број поена које је студент/студентикиња стекао/ла на предмету (највише 100).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Завршни испит полаже се у писаној форми и обухвата једно есејско питање и тест који садржи одређен број питања отворено-затвореног типа. Прво, есејско питање носи највише 10 поена. На завршном испиту студенти/студенткиње добијају по једно од понуђених питања са списка испитних питања, којим се проверава познавање обрађеног градива.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У оквиру овог дела испита потребно је у форми краћег есеја (приближно на једној страни) указати на главне аспекте обрађене проблематике.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Листа испитних питања за прво питање на завршном испиту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1. Разумевање појмова медиј и медијација (3 – 4. стр.)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2. Развој студија медија. Однос социологије масовних комуникација, комуникологије, медиологије и филозофије медија (4 – 9. стр.)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3. Предмет и циљеви теорије медија (9 – 11. стр.)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4. Лингвистички знак и медијска употреба језика (29 – 33. стр.)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5. Одлике и структура медијских текстова (33 – 39. стр.)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6. Теорије медијских ефеката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7. Медији и политичка комуникација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8. Масовни медији и идеологија (57 – 60. стр.)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9. Марксистичко разумевање односа медија и идеологије (Маркс, Алтисер, Чомски, Грамши) (61-69. стр.)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10. Медији и политички имиџ-менаџмент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11. Маршал Маклуан: медијум је порука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12. Валтер Бењамин: уметност у доба техничке репродукције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13. Лев Манович: метамедији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14. Роџер Фидлер: медијаморфоза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15. Филип Бретон: медији и манипулација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16. Дафна Лемиш: деца и телевизија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17. Дивна Вуксановић: филозофија медија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18. Ролан Барт: медији и мит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19. Жан Бодријар: симулација и хиперреално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20. Џон Фиск: медији и популарна култура </w:t>
      </w:r>
    </w:p>
    <w:p w:rsidR="00807511" w:rsidRDefault="00E51175" w:rsidP="00807511">
      <w:pPr>
        <w:spacing w:after="0"/>
        <w:ind w:firstLine="720"/>
        <w:rPr>
          <w:lang w:val="en-US"/>
        </w:rPr>
      </w:pPr>
      <w:r>
        <w:t xml:space="preserve">Поред есјског питања, завршни испит обухвата и краћи тест који садржи одређен број питања отворено-затвореног типа, а којима је покривено целокупно градиво (лекције које се налазе на листи испитних питања за прво есејско питање, као и лекције које се не налазе на овом списку). На ова питања потребно је дати краћи / конкретан одговор. Будући да је реч о тесту, питања са овог дела завршног испита нису унапред дата. На овом делу испита могуће је освојити највише 20 поена. </w:t>
      </w:r>
    </w:p>
    <w:p w:rsidR="00952BFF" w:rsidRDefault="00E51175" w:rsidP="00807511">
      <w:pPr>
        <w:spacing w:after="0"/>
        <w:ind w:firstLine="720"/>
      </w:pPr>
      <w:r>
        <w:t>Време за рад на тесту је 50 минута.</w:t>
      </w:r>
    </w:p>
    <w:sectPr w:rsidR="00952BFF" w:rsidSect="0095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1175"/>
    <w:rsid w:val="00535869"/>
    <w:rsid w:val="005406CB"/>
    <w:rsid w:val="00714B72"/>
    <w:rsid w:val="00807511"/>
    <w:rsid w:val="008678A2"/>
    <w:rsid w:val="0094171D"/>
    <w:rsid w:val="00952BFF"/>
    <w:rsid w:val="00E5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F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jovanovic</dc:creator>
  <cp:keywords/>
  <dc:description/>
  <cp:lastModifiedBy>dragana jovanovic</cp:lastModifiedBy>
  <cp:revision>2</cp:revision>
  <dcterms:created xsi:type="dcterms:W3CDTF">2018-08-28T13:53:00Z</dcterms:created>
  <dcterms:modified xsi:type="dcterms:W3CDTF">2018-08-28T13:53:00Z</dcterms:modified>
</cp:coreProperties>
</file>