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074" w:rsidRPr="00451F2B" w:rsidRDefault="00A04074">
      <w:pPr>
        <w:jc w:val="center"/>
        <w:rPr>
          <w:lang w:val="ru-RU"/>
        </w:rPr>
      </w:pPr>
      <w:r>
        <w:rPr>
          <w:lang w:val="sr-Cyrl-CS"/>
        </w:rPr>
        <w:t>П</w:t>
      </w:r>
      <w:r w:rsidRPr="00451F2B">
        <w:rPr>
          <w:lang w:val="ru-RU"/>
        </w:rPr>
        <w:t>ита</w:t>
      </w:r>
      <w:r>
        <w:rPr>
          <w:lang w:val="sr-Cyrl-CS"/>
        </w:rPr>
        <w:t>њ</w:t>
      </w:r>
      <w:r w:rsidRPr="00451F2B">
        <w:rPr>
          <w:lang w:val="ru-RU"/>
        </w:rPr>
        <w:t>а</w:t>
      </w:r>
      <w:r>
        <w:rPr>
          <w:lang w:val="sr-Latn-CS"/>
        </w:rPr>
        <w:t xml:space="preserve"> </w:t>
      </w:r>
      <w:r>
        <w:rPr>
          <w:lang w:val="sr-Cyrl-CS"/>
        </w:rPr>
        <w:t xml:space="preserve">за први колоквијум из предмета </w:t>
      </w:r>
      <w:r>
        <w:t>Берзе и финансијска тржишта</w:t>
      </w:r>
      <w:r w:rsidRPr="00451F2B">
        <w:rPr>
          <w:lang w:val="ru-RU"/>
        </w:rPr>
        <w:t xml:space="preserve"> </w:t>
      </w:r>
    </w:p>
    <w:p w:rsidR="00A04074" w:rsidRDefault="00A04074">
      <w:pPr>
        <w:rPr>
          <w:lang w:val="ru-RU"/>
        </w:rPr>
      </w:pPr>
    </w:p>
    <w:p w:rsidR="00A04074" w:rsidRPr="00451F2B" w:rsidRDefault="00A04074">
      <w:pPr>
        <w:rPr>
          <w:lang w:val="ru-RU"/>
        </w:rPr>
      </w:pPr>
    </w:p>
    <w:p w:rsidR="00A04074" w:rsidRDefault="00A04074">
      <w:pPr>
        <w:numPr>
          <w:ilvl w:val="0"/>
          <w:numId w:val="1"/>
        </w:numPr>
        <w:rPr>
          <w:lang w:val="en-029"/>
        </w:rPr>
      </w:pPr>
      <w:r>
        <w:t>Место и улога финансијског система</w:t>
      </w:r>
    </w:p>
    <w:p w:rsidR="00A04074" w:rsidRPr="005874B5" w:rsidRDefault="00A04074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Појам и улога финансијског тржишта</w:t>
      </w:r>
    </w:p>
    <w:p w:rsidR="00A04074" w:rsidRPr="005874B5" w:rsidRDefault="00A04074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Значај финансијског тржишта</w:t>
      </w:r>
    </w:p>
    <w:p w:rsidR="00A04074" w:rsidRPr="005874B5" w:rsidRDefault="00A04074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Врсте финансијских тржишта</w:t>
      </w:r>
    </w:p>
    <w:p w:rsidR="00A04074" w:rsidRPr="005874B5" w:rsidRDefault="00A04074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Уређење финансијских тржишта</w:t>
      </w:r>
    </w:p>
    <w:p w:rsidR="00A04074" w:rsidRPr="00B91A0D" w:rsidRDefault="00A04074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Уређење финансијских тржишта у Републици Србији</w:t>
      </w:r>
    </w:p>
    <w:p w:rsidR="00A04074" w:rsidRPr="005874B5" w:rsidRDefault="00A04074" w:rsidP="00B91A0D">
      <w:pPr>
        <w:numPr>
          <w:ilvl w:val="0"/>
          <w:numId w:val="1"/>
        </w:numPr>
        <w:rPr>
          <w:lang w:val="ru-RU"/>
        </w:rPr>
      </w:pPr>
      <w:r>
        <w:rPr>
          <w:szCs w:val="26"/>
        </w:rPr>
        <w:t>Историјски развој финансијских тржишта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ru-RU"/>
        </w:rPr>
      </w:pPr>
      <w:r>
        <w:rPr>
          <w:szCs w:val="26"/>
          <w:lang w:val="ru-RU"/>
        </w:rPr>
        <w:t>Појам камате и каматне стопе</w:t>
      </w:r>
    </w:p>
    <w:p w:rsidR="00A04074" w:rsidRPr="00451F2B" w:rsidRDefault="00A04074">
      <w:pPr>
        <w:numPr>
          <w:ilvl w:val="0"/>
          <w:numId w:val="1"/>
        </w:numPr>
        <w:rPr>
          <w:lang w:val="ru-RU"/>
        </w:rPr>
      </w:pPr>
      <w:r>
        <w:t>Монетарна политика и каматна стопа</w:t>
      </w:r>
    </w:p>
    <w:p w:rsidR="00A04074" w:rsidRPr="00451F2B" w:rsidRDefault="00A04074">
      <w:pPr>
        <w:numPr>
          <w:ilvl w:val="0"/>
          <w:numId w:val="1"/>
        </w:numPr>
        <w:rPr>
          <w:lang w:val="ru-RU"/>
        </w:rPr>
      </w:pPr>
      <w:r w:rsidRPr="00451F2B">
        <w:rPr>
          <w:lang w:val="ru-RU"/>
        </w:rPr>
        <w:t xml:space="preserve"> </w:t>
      </w:r>
      <w:r>
        <w:t xml:space="preserve">Каматна стопа и инфлација </w:t>
      </w:r>
    </w:p>
    <w:p w:rsidR="00A04074" w:rsidRPr="00451F2B" w:rsidRDefault="00A04074">
      <w:pPr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 </w:t>
      </w:r>
      <w:r>
        <w:t>Структура каматних стопа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 w:rsidRPr="00451F2B">
        <w:rPr>
          <w:lang w:val="ru-RU"/>
        </w:rPr>
        <w:t xml:space="preserve"> </w:t>
      </w:r>
      <w:r>
        <w:t>Садашња и будућа вредност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Појам и врсте стопа приноса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Анализа приноса и ризика финансијских инструмената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Мерење приноса и ризика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Теорија портфолија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Ризик и обим портфолија</w:t>
      </w:r>
    </w:p>
    <w:p w:rsidR="00A04074" w:rsidRPr="00D25047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Тржишна цена ризика</w:t>
      </w:r>
    </w:p>
    <w:p w:rsidR="00A04074" w:rsidRPr="00D05735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Учесници на финансијском тржишту</w:t>
      </w:r>
    </w:p>
    <w:p w:rsidR="00A04074" w:rsidRPr="00D05735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Издавачи и улагачи</w:t>
      </w:r>
    </w:p>
    <w:p w:rsidR="00A04074" w:rsidRPr="00D05735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Установе улагачи</w:t>
      </w:r>
    </w:p>
    <w:p w:rsidR="00A04074" w:rsidRPr="00D05735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Банке као установе улагачи</w:t>
      </w:r>
    </w:p>
    <w:p w:rsidR="00A04074" w:rsidRPr="00D05735" w:rsidRDefault="00A04074" w:rsidP="00D25047">
      <w:pPr>
        <w:numPr>
          <w:ilvl w:val="0"/>
          <w:numId w:val="1"/>
        </w:numPr>
        <w:rPr>
          <w:lang w:val="en-029"/>
        </w:rPr>
      </w:pPr>
      <w:r>
        <w:t xml:space="preserve"> Остале финансијске установе као установе улагачи</w:t>
      </w:r>
    </w:p>
    <w:p w:rsidR="00A04074" w:rsidRDefault="00A04074" w:rsidP="00D05735">
      <w:pPr>
        <w:numPr>
          <w:ilvl w:val="0"/>
          <w:numId w:val="1"/>
        </w:numPr>
        <w:rPr>
          <w:lang w:val="en-029"/>
        </w:rPr>
      </w:pPr>
      <w:r>
        <w:t xml:space="preserve"> Пензијски фондови као установе улагачи</w:t>
      </w:r>
    </w:p>
    <w:p w:rsidR="00A04074" w:rsidRDefault="00A04074" w:rsidP="00A257B3">
      <w:pPr>
        <w:rPr>
          <w:lang w:val="sr-Cyrl-CS"/>
        </w:rPr>
      </w:pPr>
      <w:bookmarkStart w:id="0" w:name="_GoBack"/>
      <w:bookmarkEnd w:id="0"/>
    </w:p>
    <w:p w:rsidR="00A04074" w:rsidRDefault="00A04074" w:rsidP="00045FD0">
      <w:pPr>
        <w:jc w:val="right"/>
        <w:rPr>
          <w:lang w:val="sr-Latn-CS"/>
        </w:rPr>
      </w:pPr>
      <w:r>
        <w:rPr>
          <w:lang w:val="sr-Cyrl-CS"/>
        </w:rPr>
        <w:t>Проф. др Небојша Жарковић</w:t>
      </w:r>
    </w:p>
    <w:p w:rsidR="00A04074" w:rsidRPr="00FA7E07" w:rsidRDefault="00A04074" w:rsidP="00045FD0">
      <w:pPr>
        <w:jc w:val="right"/>
        <w:rPr>
          <w:lang w:val="sr-Latn-CS"/>
        </w:rPr>
      </w:pPr>
      <w:r>
        <w:rPr>
          <w:lang w:val="sr-Latn-CS"/>
        </w:rPr>
        <w:t>nzarkovic@sbb.rs</w:t>
      </w:r>
    </w:p>
    <w:sectPr w:rsidR="00A04074" w:rsidRPr="00FA7E07" w:rsidSect="004E3A28">
      <w:headerReference w:type="default" r:id="rId7"/>
      <w:pgSz w:w="11907" w:h="16840" w:code="9"/>
      <w:pgMar w:top="1814" w:right="1418" w:bottom="1134" w:left="1418" w:header="1021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074" w:rsidRDefault="00A04074">
      <w:r>
        <w:separator/>
      </w:r>
    </w:p>
  </w:endnote>
  <w:endnote w:type="continuationSeparator" w:id="0">
    <w:p w:rsidR="00A04074" w:rsidRDefault="00A04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YuCiril Helvetic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074" w:rsidRDefault="00A04074">
      <w:r>
        <w:separator/>
      </w:r>
    </w:p>
  </w:footnote>
  <w:footnote w:type="continuationSeparator" w:id="0">
    <w:p w:rsidR="00A04074" w:rsidRDefault="00A040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4074" w:rsidRPr="00451F2B" w:rsidRDefault="00A04074">
    <w:pPr>
      <w:pStyle w:val="Header"/>
      <w:jc w:val="center"/>
      <w:rPr>
        <w:rFonts w:ascii="Times New Roman" w:hAnsi="Times New Roman"/>
        <w:sz w:val="26"/>
        <w:szCs w:val="26"/>
      </w:rPr>
    </w:pPr>
    <w:r w:rsidRPr="00451F2B">
      <w:rPr>
        <w:rFonts w:ascii="Times New Roman" w:hAnsi="Times New Roman"/>
        <w:sz w:val="26"/>
        <w:szCs w:val="26"/>
      </w:rPr>
      <w:t xml:space="preserve">- </w:t>
    </w:r>
    <w:r w:rsidRPr="00451F2B">
      <w:rPr>
        <w:rStyle w:val="PageNumber"/>
        <w:rFonts w:ascii="Times New Roman" w:hAnsi="Times New Roman"/>
        <w:sz w:val="26"/>
        <w:szCs w:val="26"/>
      </w:rPr>
      <w:fldChar w:fldCharType="begin"/>
    </w:r>
    <w:r w:rsidRPr="00451F2B">
      <w:rPr>
        <w:rStyle w:val="PageNumber"/>
        <w:rFonts w:ascii="Times New Roman" w:hAnsi="Times New Roman"/>
        <w:sz w:val="26"/>
        <w:szCs w:val="26"/>
      </w:rPr>
      <w:instrText xml:space="preserve"> PAGE </w:instrText>
    </w:r>
    <w:r w:rsidRPr="00451F2B">
      <w:rPr>
        <w:rStyle w:val="PageNumber"/>
        <w:rFonts w:ascii="Times New Roman" w:hAnsi="Times New Roman"/>
        <w:sz w:val="26"/>
        <w:szCs w:val="26"/>
      </w:rPr>
      <w:fldChar w:fldCharType="separate"/>
    </w:r>
    <w:r>
      <w:rPr>
        <w:rStyle w:val="PageNumber"/>
        <w:rFonts w:ascii="Times New Roman" w:hAnsi="Times New Roman"/>
        <w:noProof/>
        <w:sz w:val="26"/>
        <w:szCs w:val="26"/>
      </w:rPr>
      <w:t>2</w:t>
    </w:r>
    <w:r w:rsidRPr="00451F2B">
      <w:rPr>
        <w:rStyle w:val="PageNumber"/>
        <w:rFonts w:ascii="Times New Roman" w:hAnsi="Times New Roman"/>
        <w:sz w:val="26"/>
        <w:szCs w:val="26"/>
      </w:rPr>
      <w:fldChar w:fldCharType="end"/>
    </w:r>
    <w:r w:rsidRPr="00451F2B">
      <w:rPr>
        <w:rStyle w:val="PageNumber"/>
        <w:rFonts w:ascii="Times New Roman" w:hAnsi="Times New Roman"/>
        <w:sz w:val="26"/>
        <w:szCs w:val="26"/>
      </w:rPr>
      <w:t xml:space="preserve">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51246C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oNotDisplayPageBoundaries/>
  <w:embedSystemFonts/>
  <w:stylePaneFormatFilter w:val="3F01"/>
  <w:defaultTabStop w:val="720"/>
  <w:drawingGridHorizontalSpacing w:val="13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F2B"/>
    <w:rsid w:val="0003605E"/>
    <w:rsid w:val="00045FD0"/>
    <w:rsid w:val="000E1585"/>
    <w:rsid w:val="000F2651"/>
    <w:rsid w:val="001019A9"/>
    <w:rsid w:val="00122315"/>
    <w:rsid w:val="00143865"/>
    <w:rsid w:val="00167682"/>
    <w:rsid w:val="0025762C"/>
    <w:rsid w:val="0026454A"/>
    <w:rsid w:val="00270B1B"/>
    <w:rsid w:val="0028462E"/>
    <w:rsid w:val="002B2627"/>
    <w:rsid w:val="002B4F12"/>
    <w:rsid w:val="002D5EF4"/>
    <w:rsid w:val="002F6423"/>
    <w:rsid w:val="003013EE"/>
    <w:rsid w:val="00305E14"/>
    <w:rsid w:val="00337FBF"/>
    <w:rsid w:val="0034087F"/>
    <w:rsid w:val="003741B0"/>
    <w:rsid w:val="0039360B"/>
    <w:rsid w:val="00426DE9"/>
    <w:rsid w:val="00451F2B"/>
    <w:rsid w:val="0045666C"/>
    <w:rsid w:val="004673AE"/>
    <w:rsid w:val="004936ED"/>
    <w:rsid w:val="004A50D4"/>
    <w:rsid w:val="004D6EAC"/>
    <w:rsid w:val="004E2B2F"/>
    <w:rsid w:val="004E3A28"/>
    <w:rsid w:val="004E7212"/>
    <w:rsid w:val="00560E23"/>
    <w:rsid w:val="005874B5"/>
    <w:rsid w:val="0060619B"/>
    <w:rsid w:val="00606420"/>
    <w:rsid w:val="006B6233"/>
    <w:rsid w:val="006D5B1A"/>
    <w:rsid w:val="00701BF6"/>
    <w:rsid w:val="00704AC6"/>
    <w:rsid w:val="007D2582"/>
    <w:rsid w:val="0086630E"/>
    <w:rsid w:val="009018DC"/>
    <w:rsid w:val="009079AA"/>
    <w:rsid w:val="00966B95"/>
    <w:rsid w:val="009A1AD9"/>
    <w:rsid w:val="009A7760"/>
    <w:rsid w:val="009C2099"/>
    <w:rsid w:val="009D70BF"/>
    <w:rsid w:val="00A04074"/>
    <w:rsid w:val="00A23AF6"/>
    <w:rsid w:val="00A257B3"/>
    <w:rsid w:val="00A31244"/>
    <w:rsid w:val="00B57ED0"/>
    <w:rsid w:val="00B84773"/>
    <w:rsid w:val="00B91A0D"/>
    <w:rsid w:val="00BD5F7D"/>
    <w:rsid w:val="00BE563B"/>
    <w:rsid w:val="00CC54E1"/>
    <w:rsid w:val="00D05735"/>
    <w:rsid w:val="00D25047"/>
    <w:rsid w:val="00D54074"/>
    <w:rsid w:val="00D70817"/>
    <w:rsid w:val="00D91B93"/>
    <w:rsid w:val="00DB0712"/>
    <w:rsid w:val="00DB22E5"/>
    <w:rsid w:val="00DE1DCE"/>
    <w:rsid w:val="00DE2D2C"/>
    <w:rsid w:val="00E9657B"/>
    <w:rsid w:val="00ED2EF0"/>
    <w:rsid w:val="00F54CF7"/>
    <w:rsid w:val="00FA7E07"/>
    <w:rsid w:val="00FB4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A28"/>
    <w:pPr>
      <w:jc w:val="both"/>
    </w:pPr>
    <w:rPr>
      <w:sz w:val="2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E3A28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EA0A0C"/>
    <w:rPr>
      <w:sz w:val="26"/>
      <w:szCs w:val="20"/>
    </w:rPr>
  </w:style>
  <w:style w:type="character" w:styleId="PageNumber">
    <w:name w:val="page number"/>
    <w:basedOn w:val="DefaultParagraphFont"/>
    <w:uiPriority w:val="99"/>
    <w:rsid w:val="004E3A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E3A28"/>
    <w:pPr>
      <w:tabs>
        <w:tab w:val="center" w:pos="4320"/>
        <w:tab w:val="right" w:pos="8640"/>
      </w:tabs>
    </w:pPr>
    <w:rPr>
      <w:rFonts w:ascii="YuCiril Helvetica" w:hAnsi="YuCiril Helvetica"/>
      <w:sz w:val="2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A0A0C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128</Words>
  <Characters>733</Characters>
  <Application>Microsoft Office Outlook</Application>
  <DocSecurity>0</DocSecurity>
  <Lines>0</Lines>
  <Paragraphs>0</Paragraphs>
  <ScaleCrop>false</ScaleCrop>
  <Company>ddor novi sad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ИСПИТНА ПИТАWА ИЗ ПРЕДМЕТА РЕОСИГУРАWЕ СА САОСИГУРАWЕМ</dc:title>
  <dc:subject/>
  <dc:creator>dusan marjanovic</dc:creator>
  <cp:keywords/>
  <dc:description/>
  <cp:lastModifiedBy>Studenska Sluzba</cp:lastModifiedBy>
  <cp:revision>2</cp:revision>
  <cp:lastPrinted>2007-12-06T09:34:00Z</cp:lastPrinted>
  <dcterms:created xsi:type="dcterms:W3CDTF">2018-11-05T11:41:00Z</dcterms:created>
  <dcterms:modified xsi:type="dcterms:W3CDTF">2018-11-05T11:41:00Z</dcterms:modified>
</cp:coreProperties>
</file>