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E" w:rsidRPr="00451F2B" w:rsidRDefault="00E81F3E">
      <w:pPr>
        <w:jc w:val="center"/>
        <w:rPr>
          <w:lang w:val="ru-RU"/>
        </w:rPr>
      </w:pPr>
      <w:r>
        <w:rPr>
          <w:lang w:val="sr-Cyrl-CS"/>
        </w:rPr>
        <w:t>Испитна 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предмет </w:t>
      </w:r>
      <w:r>
        <w:t>Берзе и финансијска тржишта</w:t>
      </w:r>
      <w:r w:rsidRPr="00451F2B">
        <w:rPr>
          <w:lang w:val="ru-RU"/>
        </w:rPr>
        <w:t xml:space="preserve"> </w:t>
      </w:r>
    </w:p>
    <w:p w:rsidR="00E81F3E" w:rsidRDefault="00E81F3E">
      <w:pPr>
        <w:rPr>
          <w:lang w:val="ru-RU"/>
        </w:rPr>
      </w:pPr>
    </w:p>
    <w:p w:rsidR="00E81F3E" w:rsidRDefault="00E81F3E" w:rsidP="004F3E2D">
      <w:pPr>
        <w:numPr>
          <w:ilvl w:val="0"/>
          <w:numId w:val="1"/>
        </w:numPr>
        <w:rPr>
          <w:lang w:val="en-029"/>
        </w:rPr>
      </w:pPr>
      <w:r>
        <w:t>Место и улога финансијског система</w:t>
      </w:r>
    </w:p>
    <w:p w:rsidR="00E81F3E" w:rsidRPr="005874B5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Појам и улога финансијског тржишта</w:t>
      </w:r>
    </w:p>
    <w:p w:rsidR="00E81F3E" w:rsidRPr="005874B5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Значај финансијског тржишта</w:t>
      </w:r>
    </w:p>
    <w:p w:rsidR="00E81F3E" w:rsidRPr="005874B5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Врсте финансијских тржишта</w:t>
      </w:r>
    </w:p>
    <w:p w:rsidR="00E81F3E" w:rsidRPr="005874B5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Уређење финансијских тржишта</w:t>
      </w:r>
    </w:p>
    <w:p w:rsidR="00E81F3E" w:rsidRPr="00B91A0D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Уређење финансијских тржишта у Републици Србији</w:t>
      </w:r>
    </w:p>
    <w:p w:rsidR="00E81F3E" w:rsidRPr="005874B5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Историјски развој финансијских тржишта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Појам камате и каматне стопе</w:t>
      </w:r>
    </w:p>
    <w:p w:rsidR="00E81F3E" w:rsidRPr="00451F2B" w:rsidRDefault="00E81F3E" w:rsidP="004F3E2D">
      <w:pPr>
        <w:numPr>
          <w:ilvl w:val="0"/>
          <w:numId w:val="1"/>
        </w:numPr>
        <w:rPr>
          <w:lang w:val="ru-RU"/>
        </w:rPr>
      </w:pPr>
      <w:r>
        <w:t>Монетарна политика и каматна стопа</w:t>
      </w:r>
    </w:p>
    <w:p w:rsidR="00E81F3E" w:rsidRPr="00451F2B" w:rsidRDefault="00E81F3E" w:rsidP="004F3E2D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Каматна стопа и инфлација </w:t>
      </w:r>
    </w:p>
    <w:p w:rsidR="00E81F3E" w:rsidRPr="00451F2B" w:rsidRDefault="00E81F3E" w:rsidP="004F3E2D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>Структура каматних стопа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 w:rsidRPr="00451F2B">
        <w:rPr>
          <w:lang w:val="ru-RU"/>
        </w:rPr>
        <w:t xml:space="preserve"> </w:t>
      </w:r>
      <w:r>
        <w:t>Садашња и будућа вредност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Појам и врсте стопа приноса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Анализа приноса и ризика финансијских инструмената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Мерење приноса и ризика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Теорија портфолија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Ризик и обим портфолија</w:t>
      </w:r>
    </w:p>
    <w:p w:rsidR="00E81F3E" w:rsidRPr="00D25047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Тржишна цена ризика</w:t>
      </w:r>
    </w:p>
    <w:p w:rsidR="00E81F3E" w:rsidRPr="00D05735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Учесници на финансијском тржишту</w:t>
      </w:r>
    </w:p>
    <w:p w:rsidR="00E81F3E" w:rsidRPr="00D05735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Издавачи и улагачи</w:t>
      </w:r>
    </w:p>
    <w:p w:rsidR="00E81F3E" w:rsidRPr="00D05735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Установе улагачи</w:t>
      </w:r>
    </w:p>
    <w:p w:rsidR="00E81F3E" w:rsidRPr="00D05735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Банке као установе улагачи</w:t>
      </w:r>
    </w:p>
    <w:p w:rsidR="00E81F3E" w:rsidRPr="00D05735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Остале финансијске установе као установе улагачи</w:t>
      </w:r>
    </w:p>
    <w:p w:rsidR="00E81F3E" w:rsidRDefault="00E81F3E" w:rsidP="004F3E2D">
      <w:pPr>
        <w:numPr>
          <w:ilvl w:val="0"/>
          <w:numId w:val="1"/>
        </w:numPr>
        <w:rPr>
          <w:lang w:val="en-029"/>
        </w:rPr>
      </w:pPr>
      <w:r>
        <w:t xml:space="preserve"> Пензијски фондови као установе улагачи</w:t>
      </w:r>
    </w:p>
    <w:p w:rsidR="00E81F3E" w:rsidRDefault="00E81F3E">
      <w:pPr>
        <w:numPr>
          <w:ilvl w:val="0"/>
          <w:numId w:val="1"/>
        </w:numPr>
        <w:rPr>
          <w:lang w:val="en-029"/>
        </w:rPr>
      </w:pPr>
      <w:r>
        <w:t>Осигуравајућа друштва</w:t>
      </w:r>
    </w:p>
    <w:p w:rsidR="00E81F3E" w:rsidRPr="005874B5" w:rsidRDefault="00E81F3E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Улагачки фондови</w:t>
      </w:r>
    </w:p>
    <w:p w:rsidR="00E81F3E" w:rsidRPr="005874B5" w:rsidRDefault="00E81F3E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Врсте улагачких фондова</w:t>
      </w:r>
    </w:p>
    <w:p w:rsidR="00E81F3E" w:rsidRPr="005874B5" w:rsidRDefault="00E81F3E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Функционисање улагачког фонда и друштво за управљање фондом</w:t>
      </w:r>
    </w:p>
    <w:p w:rsidR="00E81F3E" w:rsidRPr="005874B5" w:rsidRDefault="00E81F3E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Брокерско-дилерска друштва</w:t>
      </w:r>
    </w:p>
    <w:p w:rsidR="00E81F3E" w:rsidRPr="00B91A0D" w:rsidRDefault="00E81F3E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Маркет мејкер</w:t>
      </w:r>
    </w:p>
    <w:p w:rsidR="00E81F3E" w:rsidRPr="005874B5" w:rsidRDefault="00E81F3E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Портфолио менаџер и инвестицијски саветник</w:t>
      </w:r>
    </w:p>
    <w:p w:rsidR="00E81F3E" w:rsidRPr="00D25047" w:rsidRDefault="00E81F3E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Покровитељ емисије и агент емисије</w:t>
      </w:r>
    </w:p>
    <w:p w:rsidR="00E81F3E" w:rsidRPr="00451F2B" w:rsidRDefault="00E81F3E">
      <w:pPr>
        <w:numPr>
          <w:ilvl w:val="0"/>
          <w:numId w:val="1"/>
        </w:numPr>
        <w:rPr>
          <w:lang w:val="ru-RU"/>
        </w:rPr>
      </w:pPr>
      <w:r>
        <w:t>Рејтинг агенције</w:t>
      </w:r>
    </w:p>
    <w:p w:rsidR="00E81F3E" w:rsidRPr="00451F2B" w:rsidRDefault="00E81F3E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Ревизорске куће 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>Појам берзе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Настанак и развој берзе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Организација и функција берзе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Централни регистар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Појам тржишта новца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Организација и технологија рада на тржишту новца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Међународно тржиште новца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Међубанкарска купопродаја новца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Хартије од вредности на тржишту новца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Краткорочне државне обвезнице и благајнички записи централне банке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Депозитни цертификат и банкарски акцепт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Појам девизног тржишта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Историјски развој девизног тржишта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Понуда и тражња за девизама и утврђивање течаја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Организација и учесници на девизном тржишту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Инструменти и облици трговине на девизном тржишту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Тржиште капитала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Значај тржишта капитала</w:t>
      </w:r>
    </w:p>
    <w:p w:rsidR="00E81F3E" w:rsidRPr="0079074C" w:rsidRDefault="00E81F3E">
      <w:pPr>
        <w:numPr>
          <w:ilvl w:val="0"/>
          <w:numId w:val="1"/>
        </w:numPr>
        <w:rPr>
          <w:lang w:val="ru-RU"/>
        </w:rPr>
      </w:pPr>
      <w:r>
        <w:t xml:space="preserve"> Обвезнице</w:t>
      </w:r>
    </w:p>
    <w:p w:rsidR="00E81F3E" w:rsidRPr="00180AC3" w:rsidRDefault="00E81F3E">
      <w:pPr>
        <w:numPr>
          <w:ilvl w:val="0"/>
          <w:numId w:val="1"/>
        </w:numPr>
        <w:rPr>
          <w:lang w:val="ru-RU"/>
        </w:rPr>
      </w:pPr>
      <w:r>
        <w:t xml:space="preserve"> Вредност обвезница и опасности везане за улагање у њих</w:t>
      </w:r>
    </w:p>
    <w:p w:rsidR="00E81F3E" w:rsidRPr="00180AC3" w:rsidRDefault="00E81F3E">
      <w:pPr>
        <w:numPr>
          <w:ilvl w:val="0"/>
          <w:numId w:val="1"/>
        </w:numPr>
        <w:rPr>
          <w:lang w:val="ru-RU"/>
        </w:rPr>
      </w:pPr>
      <w:r>
        <w:t xml:space="preserve"> Деонице</w:t>
      </w:r>
    </w:p>
    <w:p w:rsidR="00E81F3E" w:rsidRPr="00180AC3" w:rsidRDefault="00E81F3E">
      <w:pPr>
        <w:numPr>
          <w:ilvl w:val="0"/>
          <w:numId w:val="1"/>
        </w:numPr>
        <w:rPr>
          <w:lang w:val="ru-RU"/>
        </w:rPr>
      </w:pPr>
      <w:r>
        <w:t xml:space="preserve"> Врсте деоница</w:t>
      </w:r>
    </w:p>
    <w:p w:rsidR="00E81F3E" w:rsidRPr="00180AC3" w:rsidRDefault="00E81F3E">
      <w:pPr>
        <w:numPr>
          <w:ilvl w:val="0"/>
          <w:numId w:val="1"/>
        </w:numPr>
        <w:rPr>
          <w:lang w:val="ru-RU"/>
        </w:rPr>
      </w:pPr>
      <w:r>
        <w:t xml:space="preserve"> Цена, принос, уситњавање и укрупњавање деоница</w:t>
      </w:r>
    </w:p>
    <w:p w:rsidR="00E81F3E" w:rsidRPr="004F3E2D" w:rsidRDefault="00E81F3E">
      <w:pPr>
        <w:numPr>
          <w:ilvl w:val="0"/>
          <w:numId w:val="1"/>
        </w:numPr>
        <w:rPr>
          <w:lang w:val="ru-RU"/>
        </w:rPr>
      </w:pPr>
      <w:r>
        <w:t xml:space="preserve"> Примарно и секундарно тржиште</w:t>
      </w:r>
    </w:p>
    <w:p w:rsidR="00E81F3E" w:rsidRPr="004F3E2D" w:rsidRDefault="00E81F3E">
      <w:pPr>
        <w:numPr>
          <w:ilvl w:val="0"/>
          <w:numId w:val="1"/>
        </w:numPr>
        <w:rPr>
          <w:lang w:val="ru-RU"/>
        </w:rPr>
      </w:pPr>
      <w:r>
        <w:t xml:space="preserve"> Хипотекарно тржиште; појам и врсте хипотекарних кредита</w:t>
      </w:r>
    </w:p>
    <w:p w:rsidR="00E81F3E" w:rsidRPr="004F3E2D" w:rsidRDefault="00E81F3E">
      <w:pPr>
        <w:numPr>
          <w:ilvl w:val="0"/>
          <w:numId w:val="1"/>
        </w:numPr>
        <w:rPr>
          <w:lang w:val="ru-RU"/>
        </w:rPr>
      </w:pPr>
      <w:r>
        <w:t xml:space="preserve"> Хипотекарне обвезнице</w:t>
      </w:r>
    </w:p>
    <w:p w:rsidR="00E81F3E" w:rsidRPr="004F3E2D" w:rsidRDefault="00E81F3E">
      <w:pPr>
        <w:numPr>
          <w:ilvl w:val="0"/>
          <w:numId w:val="1"/>
        </w:numPr>
        <w:rPr>
          <w:lang w:val="ru-RU"/>
        </w:rPr>
      </w:pPr>
      <w:r>
        <w:t xml:space="preserve"> Секундарно хипотекарно тржиште (без поглавља 7. 3. 1)</w:t>
      </w:r>
    </w:p>
    <w:p w:rsidR="00E81F3E" w:rsidRPr="004F3E2D" w:rsidRDefault="00E81F3E">
      <w:pPr>
        <w:numPr>
          <w:ilvl w:val="0"/>
          <w:numId w:val="1"/>
        </w:numPr>
        <w:rPr>
          <w:lang w:val="ru-RU"/>
        </w:rPr>
      </w:pPr>
      <w:r>
        <w:t xml:space="preserve"> Терминско тржиште (без поглавља 8. 1)</w:t>
      </w:r>
    </w:p>
    <w:p w:rsidR="00E81F3E" w:rsidRPr="0037473B" w:rsidRDefault="00E81F3E">
      <w:pPr>
        <w:numPr>
          <w:ilvl w:val="0"/>
          <w:numId w:val="1"/>
        </w:numPr>
        <w:rPr>
          <w:lang w:val="ru-RU"/>
        </w:rPr>
      </w:pPr>
      <w:r>
        <w:t xml:space="preserve"> Фундаментална анализа (без поглавља 9. 1. 1, 9. 1. 2, 9. 1. 3. и 9. 1. 4)</w:t>
      </w:r>
    </w:p>
    <w:p w:rsidR="00E81F3E" w:rsidRPr="0037473B" w:rsidRDefault="00E81F3E">
      <w:pPr>
        <w:numPr>
          <w:ilvl w:val="0"/>
          <w:numId w:val="1"/>
        </w:numPr>
        <w:rPr>
          <w:lang w:val="ru-RU"/>
        </w:rPr>
      </w:pPr>
      <w:r>
        <w:t xml:space="preserve"> Техничка анализа – основне поставке (закључно с другим ставом на стр. 176)</w:t>
      </w:r>
    </w:p>
    <w:p w:rsidR="00E81F3E" w:rsidRPr="0037473B" w:rsidRDefault="00E81F3E">
      <w:pPr>
        <w:numPr>
          <w:ilvl w:val="0"/>
          <w:numId w:val="1"/>
        </w:numPr>
        <w:rPr>
          <w:lang w:val="ru-RU"/>
        </w:rPr>
      </w:pPr>
      <w:r>
        <w:t xml:space="preserve"> Међуоднос техничке и фундаменталне анализе (од трећег става на стр. 176 до краја другог става на стр. 177; поглавља 9. 2. 2, 9. 2. 3. и 9. 2. 4. се не уче)</w:t>
      </w:r>
    </w:p>
    <w:p w:rsidR="00E81F3E" w:rsidRPr="0037473B" w:rsidRDefault="00E81F3E">
      <w:pPr>
        <w:numPr>
          <w:ilvl w:val="0"/>
          <w:numId w:val="1"/>
        </w:numPr>
        <w:rPr>
          <w:lang w:val="ru-RU"/>
        </w:rPr>
      </w:pPr>
      <w:r>
        <w:t xml:space="preserve"> Берзански индекси (уопште) и индекси пондерисани ценом</w:t>
      </w:r>
    </w:p>
    <w:p w:rsidR="00E81F3E" w:rsidRPr="00451F2B" w:rsidRDefault="00E81F3E" w:rsidP="0037473B">
      <w:pPr>
        <w:numPr>
          <w:ilvl w:val="0"/>
          <w:numId w:val="1"/>
        </w:numPr>
        <w:rPr>
          <w:lang w:val="ru-RU"/>
        </w:rPr>
      </w:pPr>
      <w:r>
        <w:t xml:space="preserve"> Берзански индекси пондерисани тржишном вредношћу</w:t>
      </w:r>
    </w:p>
    <w:p w:rsidR="00E81F3E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Индекси Београдске берзе (без израчунавања, индексне корпе и цртежа)</w:t>
      </w:r>
    </w:p>
    <w:p w:rsidR="00E81F3E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Финансијске кризе (до половине стр. 198)</w:t>
      </w:r>
    </w:p>
    <w:p w:rsidR="00E81F3E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Средства заштите инвеститора</w:t>
      </w:r>
    </w:p>
    <w:p w:rsidR="00E81F3E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Сукоб интереса на финансијском тржишту</w:t>
      </w:r>
    </w:p>
    <w:p w:rsidR="00E81F3E" w:rsidRPr="00451F2B" w:rsidRDefault="00E81F3E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Пословна етика на финансијском тржишту</w:t>
      </w:r>
    </w:p>
    <w:p w:rsidR="00E81F3E" w:rsidRDefault="00E81F3E" w:rsidP="00A257B3">
      <w:pPr>
        <w:rPr>
          <w:lang w:val="sr-Cyrl-CS"/>
        </w:rPr>
      </w:pPr>
    </w:p>
    <w:p w:rsidR="00E81F3E" w:rsidRDefault="00E81F3E" w:rsidP="00045FD0">
      <w:pPr>
        <w:jc w:val="right"/>
        <w:rPr>
          <w:lang w:val="sr-Latn-CS"/>
        </w:rPr>
      </w:pPr>
      <w:r>
        <w:rPr>
          <w:lang w:val="sr-Cyrl-CS"/>
        </w:rPr>
        <w:t>Проф. др Небојша Жарковић</w:t>
      </w:r>
    </w:p>
    <w:p w:rsidR="00E81F3E" w:rsidRPr="00FA7E07" w:rsidRDefault="00E81F3E" w:rsidP="00045FD0">
      <w:pPr>
        <w:jc w:val="right"/>
        <w:rPr>
          <w:lang w:val="sr-Latn-CS"/>
        </w:rPr>
      </w:pPr>
      <w:bookmarkStart w:id="0" w:name="_GoBack"/>
      <w:bookmarkEnd w:id="0"/>
      <w:r>
        <w:rPr>
          <w:lang w:val="sr-Latn-CS"/>
        </w:rPr>
        <w:t>nzarkovic@sbb.rs</w:t>
      </w:r>
    </w:p>
    <w:sectPr w:rsidR="00E81F3E" w:rsidRPr="00FA7E07" w:rsidSect="00C52220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3E" w:rsidRDefault="00E81F3E">
      <w:r>
        <w:separator/>
      </w:r>
    </w:p>
  </w:endnote>
  <w:endnote w:type="continuationSeparator" w:id="0">
    <w:p w:rsidR="00E81F3E" w:rsidRDefault="00E8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3E" w:rsidRDefault="00E81F3E">
      <w:r>
        <w:separator/>
      </w:r>
    </w:p>
  </w:footnote>
  <w:footnote w:type="continuationSeparator" w:id="0">
    <w:p w:rsidR="00E81F3E" w:rsidRDefault="00E8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3E" w:rsidRPr="00451F2B" w:rsidRDefault="00E81F3E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E1585"/>
    <w:rsid w:val="000F2651"/>
    <w:rsid w:val="001019A9"/>
    <w:rsid w:val="00122315"/>
    <w:rsid w:val="00143865"/>
    <w:rsid w:val="00167682"/>
    <w:rsid w:val="00180AC3"/>
    <w:rsid w:val="001D02FC"/>
    <w:rsid w:val="00210201"/>
    <w:rsid w:val="0025762C"/>
    <w:rsid w:val="00270B1B"/>
    <w:rsid w:val="0028462E"/>
    <w:rsid w:val="002B2627"/>
    <w:rsid w:val="002B4F12"/>
    <w:rsid w:val="002D5EF4"/>
    <w:rsid w:val="002E1443"/>
    <w:rsid w:val="002F6423"/>
    <w:rsid w:val="003013EE"/>
    <w:rsid w:val="00305E14"/>
    <w:rsid w:val="0031431D"/>
    <w:rsid w:val="00337FBF"/>
    <w:rsid w:val="0034087F"/>
    <w:rsid w:val="003741B0"/>
    <w:rsid w:val="0037473B"/>
    <w:rsid w:val="00377784"/>
    <w:rsid w:val="0039105F"/>
    <w:rsid w:val="0039360B"/>
    <w:rsid w:val="00426DE9"/>
    <w:rsid w:val="00451F2B"/>
    <w:rsid w:val="0045666C"/>
    <w:rsid w:val="004673AE"/>
    <w:rsid w:val="004936ED"/>
    <w:rsid w:val="004A50D4"/>
    <w:rsid w:val="004D6EAC"/>
    <w:rsid w:val="004E2B2F"/>
    <w:rsid w:val="004E7212"/>
    <w:rsid w:val="004F3E2D"/>
    <w:rsid w:val="004F7923"/>
    <w:rsid w:val="00560E23"/>
    <w:rsid w:val="005874B5"/>
    <w:rsid w:val="005D4781"/>
    <w:rsid w:val="0060619B"/>
    <w:rsid w:val="00606420"/>
    <w:rsid w:val="006B6233"/>
    <w:rsid w:val="006D5B1A"/>
    <w:rsid w:val="00701BF6"/>
    <w:rsid w:val="00704AC6"/>
    <w:rsid w:val="0079074C"/>
    <w:rsid w:val="007D2582"/>
    <w:rsid w:val="0086630E"/>
    <w:rsid w:val="008B0BB0"/>
    <w:rsid w:val="008F7833"/>
    <w:rsid w:val="009018DC"/>
    <w:rsid w:val="009079AA"/>
    <w:rsid w:val="00966B95"/>
    <w:rsid w:val="009A1AD9"/>
    <w:rsid w:val="009A7760"/>
    <w:rsid w:val="009C2099"/>
    <w:rsid w:val="009D70BF"/>
    <w:rsid w:val="00A23AF6"/>
    <w:rsid w:val="00A257B3"/>
    <w:rsid w:val="00A31244"/>
    <w:rsid w:val="00B57ED0"/>
    <w:rsid w:val="00B84773"/>
    <w:rsid w:val="00B91A0D"/>
    <w:rsid w:val="00BD5F7D"/>
    <w:rsid w:val="00BE563B"/>
    <w:rsid w:val="00C52220"/>
    <w:rsid w:val="00CC54E1"/>
    <w:rsid w:val="00D05735"/>
    <w:rsid w:val="00D25047"/>
    <w:rsid w:val="00D54074"/>
    <w:rsid w:val="00D70817"/>
    <w:rsid w:val="00D91B93"/>
    <w:rsid w:val="00DB0712"/>
    <w:rsid w:val="00DB22E5"/>
    <w:rsid w:val="00DE1DCE"/>
    <w:rsid w:val="00DE2D2C"/>
    <w:rsid w:val="00E81F3E"/>
    <w:rsid w:val="00E9657B"/>
    <w:rsid w:val="00ED2EF0"/>
    <w:rsid w:val="00F54CF7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20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220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4B35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C52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2220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4B35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406</Words>
  <Characters>2315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2018-12-28T08:22:00Z</dcterms:created>
  <dcterms:modified xsi:type="dcterms:W3CDTF">2018-12-28T08:22:00Z</dcterms:modified>
</cp:coreProperties>
</file>